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proofErr w:type="spellStart"/>
      <w:r w:rsidRPr="002A64E7">
        <w:rPr>
          <w:rFonts w:eastAsia="SimSun" w:cstheme="minorHAnsi"/>
          <w:iCs/>
          <w:sz w:val="20"/>
          <w:szCs w:val="20"/>
          <w:lang w:eastAsia="pl-PL"/>
        </w:rPr>
        <w:t>Współadministratorami</w:t>
      </w:r>
      <w:proofErr w:type="spellEnd"/>
      <w:r w:rsidRPr="002A64E7">
        <w:rPr>
          <w:rFonts w:eastAsia="SimSun" w:cstheme="minorHAnsi"/>
          <w:iCs/>
          <w:sz w:val="20"/>
          <w:szCs w:val="20"/>
          <w:lang w:eastAsia="pl-PL"/>
        </w:rPr>
        <w:t xml:space="preserve"> Pani/Pana danych osobowych są</w:t>
      </w:r>
      <w:r w:rsidRPr="002A64E7">
        <w:rPr>
          <w:rFonts w:eastAsia="SimSun" w:cstheme="minorHAnsi"/>
          <w:sz w:val="20"/>
          <w:szCs w:val="20"/>
          <w:lang w:eastAsia="pl-PL"/>
        </w:rPr>
        <w:t>:</w:t>
      </w:r>
    </w:p>
    <w:p w14:paraId="06B47227" w14:textId="0BC31F7C"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 </w:t>
      </w:r>
      <w:hyperlink r:id="rId11" w:history="1">
        <w:r w:rsidRPr="00097CDB">
          <w:rPr>
            <w:rStyle w:val="Hipercze"/>
            <w:iCs/>
            <w:sz w:val="20"/>
            <w:szCs w:val="20"/>
          </w:rPr>
          <w:t>inspektorochronydanych@nfosigw.gov.pl</w:t>
        </w:r>
      </w:hyperlink>
      <w:r w:rsidR="00097CDB">
        <w:t>,</w:t>
      </w:r>
      <w:r w:rsidRPr="002A64E7">
        <w:rPr>
          <w:rFonts w:eastAsia="SimSun" w:cstheme="minorHAnsi"/>
          <w:iCs/>
          <w:sz w:val="20"/>
          <w:szCs w:val="20"/>
          <w:lang w:eastAsia="pl-PL"/>
        </w:rPr>
        <w:t xml:space="preserve"> więcej możesz dowiedzieć się na stronie </w:t>
      </w:r>
      <w:hyperlink r:id="rId12" w:history="1">
        <w:r w:rsidR="00097CDB" w:rsidRPr="00D240C0">
          <w:rPr>
            <w:rStyle w:val="Hipercze"/>
            <w:rFonts w:eastAsia="SimSun" w:cstheme="minorHAnsi"/>
            <w:iCs/>
            <w:sz w:val="20"/>
            <w:szCs w:val="20"/>
            <w:lang w:eastAsia="pl-PL"/>
          </w:rPr>
          <w:t>https://czystepowietrze.gov.pl/wez-dofinansowanie/klauzule-informacyjne</w:t>
        </w:r>
      </w:hyperlink>
      <w:r w:rsidRPr="002A64E7">
        <w:rPr>
          <w:rFonts w:eastAsia="SimSun" w:cstheme="minorHAnsi"/>
          <w:iCs/>
          <w:sz w:val="20"/>
          <w:szCs w:val="20"/>
          <w:lang w:eastAsia="pl-PL"/>
        </w:rPr>
        <w:t>,</w:t>
      </w:r>
      <w:r w:rsidR="00097CDB">
        <w:rPr>
          <w:rFonts w:eastAsia="SimSun" w:cstheme="minorHAnsi"/>
          <w:iCs/>
          <w:sz w:val="20"/>
          <w:szCs w:val="20"/>
          <w:lang w:eastAsia="pl-PL"/>
        </w:rPr>
        <w:t xml:space="preserve"> </w:t>
      </w:r>
      <w:r w:rsidRPr="002A64E7">
        <w:rPr>
          <w:rFonts w:eastAsia="SimSun" w:cstheme="minorHAnsi"/>
          <w:iCs/>
          <w:sz w:val="20"/>
          <w:szCs w:val="20"/>
          <w:lang w:eastAsia="pl-PL"/>
        </w:rPr>
        <w:t>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055793F2" w:rsidR="00ED0DE6" w:rsidRPr="002A64E7" w:rsidRDefault="00ED0DE6" w:rsidP="00097CDB">
      <w:pPr>
        <w:tabs>
          <w:tab w:val="left" w:pos="1282"/>
        </w:tabs>
        <w:spacing w:after="0" w:line="240" w:lineRule="auto"/>
        <w:jc w:val="both"/>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Wodnej</w:t>
      </w:r>
      <w:r w:rsidR="00097CDB" w:rsidRPr="00097CDB">
        <w:rPr>
          <w:rFonts w:ascii="Calibri" w:eastAsia="SimSun" w:hAnsi="Calibri" w:cs="Calibri"/>
          <w:b/>
          <w:bCs/>
          <w:iCs/>
        </w:rPr>
        <w:t xml:space="preserve"> </w:t>
      </w:r>
      <w:r w:rsidR="00097CDB" w:rsidRPr="00097CDB">
        <w:rPr>
          <w:rFonts w:ascii="Calibri" w:eastAsia="SimSun" w:hAnsi="Calibri" w:cs="Calibri"/>
          <w:b/>
          <w:bCs/>
          <w:iCs/>
          <w:sz w:val="20"/>
          <w:szCs w:val="20"/>
        </w:rPr>
        <w:t>w</w:t>
      </w:r>
      <w:r w:rsidR="00097CDB" w:rsidRPr="00097CDB">
        <w:rPr>
          <w:rFonts w:ascii="Calibri" w:eastAsia="SimSun" w:hAnsi="Calibri" w:cs="Calibri"/>
          <w:iCs/>
          <w:sz w:val="20"/>
          <w:szCs w:val="20"/>
        </w:rPr>
        <w:t xml:space="preserve"> </w:t>
      </w:r>
      <w:r w:rsidR="00097CDB" w:rsidRPr="00097CDB">
        <w:rPr>
          <w:rFonts w:ascii="Calibri" w:eastAsia="SimSun" w:hAnsi="Calibri" w:cs="Calibri"/>
          <w:b/>
          <w:bCs/>
          <w:iCs/>
          <w:sz w:val="20"/>
          <w:szCs w:val="20"/>
        </w:rPr>
        <w:t>Poznaniu</w:t>
      </w:r>
      <w:r w:rsidR="00097CDB" w:rsidRPr="00097CDB">
        <w:rPr>
          <w:rFonts w:ascii="Calibri" w:eastAsia="SimSun" w:hAnsi="Calibri" w:cs="Calibri"/>
          <w:iCs/>
          <w:sz w:val="20"/>
          <w:szCs w:val="20"/>
        </w:rPr>
        <w:t xml:space="preserve">, z siedzibą w Poznaniu, kod pocztowy 60-541, przy ul. Szczepanowskiego 15a, tel. 61 845 62 00, adres e-mail: </w:t>
      </w:r>
      <w:hyperlink r:id="rId13" w:history="1">
        <w:r w:rsidR="00097CDB" w:rsidRPr="00097CDB">
          <w:rPr>
            <w:rStyle w:val="Hipercze"/>
            <w:rFonts w:ascii="Calibri" w:eastAsia="SimSun" w:hAnsi="Calibri" w:cs="Calibri"/>
            <w:iCs/>
            <w:sz w:val="20"/>
            <w:szCs w:val="20"/>
          </w:rPr>
          <w:t>biuro@wfosgw.poznan.pl</w:t>
        </w:r>
      </w:hyperlink>
      <w:r w:rsidR="00097CDB" w:rsidRPr="00097CDB">
        <w:rPr>
          <w:rFonts w:ascii="Calibri" w:eastAsia="SimSun" w:hAnsi="Calibri" w:cs="Calibri"/>
          <w:iCs/>
          <w:sz w:val="20"/>
          <w:szCs w:val="20"/>
        </w:rPr>
        <w:t xml:space="preserve">, więcej możesz dowiedzieć się na stronie:  </w:t>
      </w:r>
      <w:hyperlink r:id="rId14" w:history="1">
        <w:r w:rsidR="00097CDB" w:rsidRPr="00097CDB">
          <w:rPr>
            <w:rStyle w:val="Hipercze"/>
            <w:rFonts w:ascii="Calibri" w:eastAsia="SimSun" w:hAnsi="Calibri" w:cs="Calibri"/>
            <w:iCs/>
            <w:sz w:val="20"/>
            <w:szCs w:val="20"/>
          </w:rPr>
          <w:t>https://www.wfosgw.poznan.pl</w:t>
        </w:r>
      </w:hyperlink>
      <w:r w:rsidRPr="00097CDB">
        <w:rPr>
          <w:rFonts w:eastAsia="SimSun" w:cstheme="minorHAnsi"/>
          <w:iCs/>
          <w:sz w:val="20"/>
          <w:szCs w:val="20"/>
          <w:lang w:eastAsia="pl-PL"/>
        </w:rPr>
        <w:t>,</w:t>
      </w:r>
      <w:r w:rsidRPr="00097CDB">
        <w:rPr>
          <w:rFonts w:eastAsia="Calibri" w:cstheme="minorHAnsi"/>
          <w:iCs/>
          <w:sz w:val="20"/>
          <w:szCs w:val="20"/>
          <w:lang w:eastAsia="pl-PL"/>
        </w:rPr>
        <w:t xml:space="preserve"> zwany dalej "</w:t>
      </w:r>
      <w:r w:rsidRPr="00097CDB">
        <w:rPr>
          <w:rFonts w:eastAsia="Calibri" w:cstheme="minorHAnsi"/>
          <w:bCs/>
          <w:iCs/>
          <w:sz w:val="20"/>
          <w:szCs w:val="20"/>
          <w:lang w:eastAsia="pl-PL"/>
        </w:rPr>
        <w:t>Administrator 2</w:t>
      </w:r>
      <w:r w:rsidRPr="00097CDB">
        <w:rPr>
          <w:rFonts w:eastAsia="Calibri" w:cstheme="minorHAnsi"/>
          <w:iCs/>
          <w:sz w:val="20"/>
          <w:szCs w:val="20"/>
          <w:lang w:eastAsia="pl-PL"/>
        </w:rPr>
        <w:t>"</w:t>
      </w:r>
      <w:r w:rsidR="00097CDB">
        <w:rPr>
          <w:rFonts w:eastAsia="Calibri" w:cstheme="minorHAnsi"/>
          <w:iCs/>
          <w:sz w:val="20"/>
          <w:szCs w:val="20"/>
          <w:lang w:eastAsia="pl-PL"/>
        </w:rPr>
        <w:t>.</w:t>
      </w:r>
    </w:p>
    <w:p w14:paraId="0EAA23F3" w14:textId="77777777"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proofErr w:type="spellStart"/>
      <w:r w:rsidRPr="002A64E7">
        <w:rPr>
          <w:rFonts w:eastAsia="Calibri" w:cstheme="minorHAnsi"/>
          <w:iCs/>
          <w:sz w:val="20"/>
          <w:szCs w:val="20"/>
        </w:rPr>
        <w:t>Współadministratorzy</w:t>
      </w:r>
      <w:proofErr w:type="spellEnd"/>
      <w:r w:rsidRPr="002A64E7">
        <w:rPr>
          <w:rFonts w:eastAsia="Calibri" w:cstheme="minorHAnsi"/>
          <w:iCs/>
          <w:sz w:val="20"/>
          <w:szCs w:val="20"/>
        </w:rPr>
        <w:t xml:space="preserve"> powołali odrębnych Inspektorów Ochrony Danych (IOD), z którymi zgodnie </w:t>
      </w:r>
      <w:r w:rsidRPr="002A64E7">
        <w:rPr>
          <w:rFonts w:eastAsia="Calibri" w:cstheme="minorHAnsi"/>
          <w:iCs/>
          <w:sz w:val="20"/>
          <w:szCs w:val="20"/>
        </w:rPr>
        <w:br/>
        <w:t xml:space="preserve">z podziałem zadań pomiędzy </w:t>
      </w:r>
      <w:proofErr w:type="spellStart"/>
      <w:r w:rsidRPr="002A64E7">
        <w:rPr>
          <w:rFonts w:eastAsia="Calibri" w:cstheme="minorHAnsi"/>
          <w:iCs/>
          <w:sz w:val="20"/>
          <w:szCs w:val="20"/>
        </w:rPr>
        <w:t>Współadministratorami</w:t>
      </w:r>
      <w:proofErr w:type="spellEnd"/>
      <w:r w:rsidRPr="002A64E7">
        <w:rPr>
          <w:rFonts w:eastAsia="Calibri" w:cstheme="minorHAnsi"/>
          <w:iCs/>
          <w:sz w:val="20"/>
          <w:szCs w:val="20"/>
        </w:rPr>
        <w:t xml:space="preserve">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5" w:history="1">
        <w:r w:rsidRPr="00097CDB">
          <w:rPr>
            <w:rStyle w:val="Hipercze"/>
            <w:rFonts w:ascii="Calibri" w:eastAsia="SimSun" w:hAnsi="Calibri" w:cs="Calibri"/>
            <w:sz w:val="20"/>
            <w:szCs w:val="20"/>
            <w:lang w:val="en-GB"/>
          </w:rPr>
          <w:t>inspektorochronydanych@nfosigw.gov.pl</w:t>
        </w:r>
      </w:hyperlink>
      <w:r w:rsidRPr="00097CDB">
        <w:rPr>
          <w:rFonts w:eastAsia="Calibri" w:cstheme="minorHAnsi"/>
          <w:iCs/>
          <w:sz w:val="20"/>
          <w:szCs w:val="20"/>
          <w:lang w:val="en-US" w:eastAsia="pl-PL"/>
        </w:rPr>
        <w:t>,</w:t>
      </w:r>
    </w:p>
    <w:p w14:paraId="46403A96" w14:textId="42C261FD"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2 -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6" w:history="1">
        <w:r w:rsidR="00097CDB" w:rsidRPr="00097CDB">
          <w:rPr>
            <w:rStyle w:val="Hipercze"/>
            <w:rFonts w:ascii="Calibri" w:eastAsia="SimSun" w:hAnsi="Calibri" w:cs="Calibri"/>
            <w:sz w:val="20"/>
            <w:szCs w:val="20"/>
            <w:lang w:val="en-GB"/>
          </w:rPr>
          <w:t>iod@wfosgw.poznan.pl</w:t>
        </w:r>
      </w:hyperlink>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proofErr w:type="spellStart"/>
      <w:r w:rsidRPr="002A64E7">
        <w:rPr>
          <w:rFonts w:eastAsia="SimSun" w:cstheme="minorHAnsi"/>
          <w:iCs/>
          <w:sz w:val="20"/>
          <w:szCs w:val="20"/>
          <w:lang w:eastAsia="pl-PL"/>
        </w:rPr>
        <w:lastRenderedPageBreak/>
        <w:t>Współadministratorzy</w:t>
      </w:r>
      <w:proofErr w:type="spellEnd"/>
      <w:r w:rsidRPr="002A64E7">
        <w:rPr>
          <w:rFonts w:eastAsia="SimSun" w:cstheme="minorHAnsi"/>
          <w:iCs/>
          <w:sz w:val="20"/>
          <w:szCs w:val="20"/>
          <w:lang w:eastAsia="pl-PL"/>
        </w:rPr>
        <w:t xml:space="preserve">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Pani/Pana dane osobowe </w:t>
      </w:r>
      <w:proofErr w:type="spellStart"/>
      <w:r w:rsidRPr="002A64E7">
        <w:rPr>
          <w:rFonts w:eastAsia="SimSun" w:cstheme="minorHAnsi"/>
          <w:iCs/>
          <w:sz w:val="20"/>
          <w:szCs w:val="20"/>
          <w:lang w:eastAsia="pl-PL"/>
        </w:rPr>
        <w:t>Współadministratorzy</w:t>
      </w:r>
      <w:proofErr w:type="spellEnd"/>
      <w:r w:rsidRPr="002A64E7">
        <w:rPr>
          <w:rFonts w:eastAsia="SimSun" w:cstheme="minorHAnsi"/>
          <w:iCs/>
          <w:sz w:val="20"/>
          <w:szCs w:val="20"/>
          <w:lang w:eastAsia="pl-PL"/>
        </w:rPr>
        <w:t xml:space="preserve"> pozyskali od</w:t>
      </w:r>
    </w:p>
    <w:p w14:paraId="69A4FB89" w14:textId="3FC664EA"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t>
      </w:r>
      <w:r w:rsidR="00097CDB">
        <w:rPr>
          <w:rFonts w:eastAsia="SimSun" w:cstheme="minorHAnsi"/>
          <w:sz w:val="20"/>
          <w:szCs w:val="20"/>
          <w:lang w:eastAsia="pl-PL"/>
        </w:rPr>
        <w:t>Poznaniu</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t>
      </w:r>
      <w:proofErr w:type="spellStart"/>
      <w:r w:rsidRPr="002A64E7">
        <w:rPr>
          <w:rFonts w:eastAsia="SimSun" w:cstheme="minorHAnsi"/>
          <w:sz w:val="20"/>
          <w:szCs w:val="20"/>
          <w:lang w:eastAsia="pl-PL"/>
        </w:rPr>
        <w:t>Wspóladministratorami</w:t>
      </w:r>
      <w:proofErr w:type="spellEnd"/>
      <w:r w:rsidRPr="002A64E7">
        <w:rPr>
          <w:rFonts w:eastAsia="SimSun" w:cstheme="minorHAnsi"/>
          <w:sz w:val="20"/>
          <w:szCs w:val="20"/>
          <w:lang w:eastAsia="pl-PL"/>
        </w:rPr>
        <w:t xml:space="preserve">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t>
      </w: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484B7F95"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097CDB" w:rsidRPr="00097CDB">
        <w:rPr>
          <w:rFonts w:ascii="Calibri" w:eastAsia="SimSun" w:hAnsi="Calibri" w:cs="Calibri"/>
          <w:iCs/>
          <w:sz w:val="20"/>
          <w:szCs w:val="20"/>
        </w:rPr>
        <w:t>pięć lat po zakończeniu okresu trwałości dla zadań objętych dofinansowaniem w ramach Programu Priorytetowego „Czyste Powietrze”</w:t>
      </w:r>
      <w:r w:rsidR="00097CDB">
        <w:rPr>
          <w:rFonts w:ascii="Calibri" w:eastAsia="SimSun" w:hAnsi="Calibri" w:cs="Calibri"/>
          <w:iCs/>
          <w:sz w:val="20"/>
          <w:szCs w:val="20"/>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AA27" w14:textId="77777777" w:rsidR="00AB533E" w:rsidRDefault="00AB533E" w:rsidP="00F35DE2">
      <w:pPr>
        <w:spacing w:after="0" w:line="240" w:lineRule="auto"/>
      </w:pPr>
      <w:r>
        <w:separator/>
      </w:r>
    </w:p>
  </w:endnote>
  <w:endnote w:type="continuationSeparator" w:id="0">
    <w:p w14:paraId="604868CA" w14:textId="77777777" w:rsidR="00AB533E" w:rsidRDefault="00AB533E"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7D74BD88"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AEC8" w14:textId="77777777" w:rsidR="00AB533E" w:rsidRDefault="00AB533E" w:rsidP="00F35DE2">
      <w:pPr>
        <w:spacing w:after="0" w:line="240" w:lineRule="auto"/>
      </w:pPr>
      <w:r>
        <w:separator/>
      </w:r>
    </w:p>
  </w:footnote>
  <w:footnote w:type="continuationSeparator" w:id="0">
    <w:p w14:paraId="2873CD22" w14:textId="77777777" w:rsidR="00AB533E" w:rsidRDefault="00AB533E"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301"/>
    <w:rsid w:val="000526D2"/>
    <w:rsid w:val="00055A64"/>
    <w:rsid w:val="00060326"/>
    <w:rsid w:val="0006653C"/>
    <w:rsid w:val="0007167C"/>
    <w:rsid w:val="0007406F"/>
    <w:rsid w:val="000777A5"/>
    <w:rsid w:val="0008272D"/>
    <w:rsid w:val="00085912"/>
    <w:rsid w:val="00085976"/>
    <w:rsid w:val="00097CDB"/>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96731"/>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33E"/>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09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uro@wfosgw.pozna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wfosgw.pozna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nspektorochronydanych@nfosigw.gov.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fosgw.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2144</Words>
  <Characters>12866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Jakszta, Barbara</cp:lastModifiedBy>
  <cp:revision>14</cp:revision>
  <cp:lastPrinted>2019-01-15T15:02:00Z</cp:lastPrinted>
  <dcterms:created xsi:type="dcterms:W3CDTF">2025-03-19T08:27:00Z</dcterms:created>
  <dcterms:modified xsi:type="dcterms:W3CDTF">2025-03-24T11:40:00Z</dcterms:modified>
</cp:coreProperties>
</file>